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仿宋" w:cs="Times New Roman"/>
          <w:color w:val="auto"/>
          <w:sz w:val="32"/>
          <w:szCs w:val="32"/>
          <w:lang w:val="en-US" w:eastAsia="zh-CN" w:bidi="ar-SA"/>
        </w:rPr>
      </w:pPr>
      <w:r>
        <w:rPr>
          <w:rFonts w:hint="default" w:ascii="Times New Roman" w:hAnsi="Times New Roman" w:eastAsia="仿宋" w:cs="Times New Roman"/>
          <w:color w:val="auto"/>
          <w:sz w:val="32"/>
          <w:szCs w:val="32"/>
          <w:lang w:val="en-US" w:eastAsia="zh-CN" w:bidi="ar-SA"/>
        </w:rPr>
        <w:t>附件1：</w:t>
      </w:r>
    </w:p>
    <w:p>
      <w:pPr>
        <w:pStyle w:val="2"/>
        <w:spacing w:before="2" w:beforeLines="0"/>
        <w:jc w:val="center"/>
        <w:rPr>
          <w:rFonts w:hint="default" w:ascii="Times New Roman" w:hAnsi="Times New Roman" w:eastAsia="方正大标宋简体" w:cs="Times New Roman"/>
          <w:color w:val="auto"/>
          <w:w w:val="105"/>
          <w:kern w:val="2"/>
          <w:sz w:val="42"/>
          <w:szCs w:val="24"/>
          <w:lang w:val="en-US" w:eastAsia="zh-CN" w:bidi="ar-SA"/>
        </w:rPr>
      </w:pPr>
      <w:r>
        <w:rPr>
          <w:rFonts w:hint="default" w:ascii="Times New Roman" w:hAnsi="Times New Roman" w:eastAsia="方正大标宋简体" w:cs="Times New Roman"/>
          <w:color w:val="auto"/>
          <w:w w:val="105"/>
          <w:kern w:val="2"/>
          <w:sz w:val="42"/>
          <w:szCs w:val="24"/>
          <w:lang w:val="en-US" w:eastAsia="zh-CN" w:bidi="ar-SA"/>
        </w:rPr>
        <w:t>邵阳市住房公积金管理中心</w:t>
      </w:r>
    </w:p>
    <w:p>
      <w:pPr>
        <w:pStyle w:val="2"/>
        <w:spacing w:before="2" w:beforeLines="0"/>
        <w:jc w:val="center"/>
        <w:rPr>
          <w:rFonts w:hint="default" w:ascii="Times New Roman" w:hAnsi="Times New Roman" w:eastAsia="方正大标宋简体" w:cs="Times New Roman"/>
          <w:color w:val="auto"/>
          <w:w w:val="105"/>
          <w:kern w:val="2"/>
          <w:sz w:val="42"/>
          <w:szCs w:val="24"/>
          <w:lang w:val="en-US" w:eastAsia="zh-CN" w:bidi="ar-SA"/>
        </w:rPr>
      </w:pPr>
      <w:r>
        <w:rPr>
          <w:rFonts w:hint="default" w:ascii="Times New Roman" w:hAnsi="Times New Roman" w:eastAsia="方正大标宋简体" w:cs="Times New Roman"/>
          <w:color w:val="auto"/>
          <w:w w:val="105"/>
          <w:kern w:val="2"/>
          <w:sz w:val="42"/>
          <w:szCs w:val="24"/>
          <w:lang w:val="en-US" w:eastAsia="zh-CN" w:bidi="ar-SA"/>
        </w:rPr>
        <w:t>房地产开发企业金融机构保函通知书</w:t>
      </w:r>
    </w:p>
    <w:p>
      <w:pPr>
        <w:pStyle w:val="2"/>
        <w:spacing w:before="2" w:beforeLines="0"/>
        <w:jc w:val="center"/>
        <w:rPr>
          <w:rFonts w:hint="default" w:ascii="Times New Roman" w:hAnsi="Times New Roman" w:eastAsia="宋体" w:cs="Times New Roman"/>
          <w:color w:val="auto"/>
          <w:w w:val="105"/>
          <w:kern w:val="2"/>
          <w:sz w:val="42"/>
          <w:szCs w:val="24"/>
          <w:lang w:val="en-US" w:eastAsia="zh-CN" w:bidi="ar-SA"/>
        </w:rPr>
      </w:pPr>
    </w:p>
    <w:p>
      <w:pPr>
        <w:pStyle w:val="2"/>
        <w:spacing w:before="2" w:beforeLines="0"/>
        <w:jc w:val="both"/>
        <w:rPr>
          <w:rFonts w:hint="default" w:ascii="Times New Roman" w:hAnsi="Times New Roman" w:eastAsia="宋体" w:cs="Times New Roman"/>
          <w:color w:val="auto"/>
          <w:w w:val="105"/>
          <w:kern w:val="2"/>
          <w:sz w:val="42"/>
          <w:szCs w:val="24"/>
          <w:lang w:val="en-US" w:eastAsia="zh-CN" w:bidi="ar-SA"/>
        </w:rPr>
      </w:pPr>
      <w:r>
        <w:rPr>
          <w:rFonts w:hint="default" w:ascii="Times New Roman" w:hAnsi="Times New Roman" w:cs="Times New Roman"/>
          <w:color w:val="auto"/>
          <w:w w:val="105"/>
          <w:kern w:val="2"/>
          <w:sz w:val="42"/>
          <w:szCs w:val="24"/>
          <w:lang w:val="en-US" w:eastAsia="zh-CN" w:bidi="ar-SA"/>
        </w:rPr>
        <w:t xml:space="preserve"> </w:t>
      </w:r>
      <w:r>
        <w:rPr>
          <w:rFonts w:hint="default" w:ascii="Times New Roman" w:hAnsi="Times New Roman" w:cs="Times New Roman"/>
          <w:color w:val="auto"/>
          <w:w w:val="105"/>
          <w:kern w:val="2"/>
          <w:sz w:val="42"/>
          <w:szCs w:val="24"/>
          <w:u w:val="single" w:color="auto"/>
          <w:lang w:val="en-US" w:eastAsia="zh-CN" w:bidi="ar-SA"/>
        </w:rPr>
        <w:t xml:space="preserve">                     </w:t>
      </w:r>
      <w:r>
        <w:rPr>
          <w:rFonts w:hint="default" w:ascii="Times New Roman" w:hAnsi="Times New Roman" w:eastAsia="宋体" w:cs="Times New Roman"/>
          <w:color w:val="auto"/>
          <w:w w:val="105"/>
          <w:kern w:val="2"/>
          <w:sz w:val="42"/>
          <w:szCs w:val="24"/>
          <w:lang w:val="en-US" w:eastAsia="zh-CN" w:bidi="ar-SA"/>
        </w:rPr>
        <w:t xml:space="preserve">：          </w:t>
      </w:r>
    </w:p>
    <w:p>
      <w:pPr>
        <w:pStyle w:val="2"/>
        <w:spacing w:before="2" w:beforeLines="0"/>
        <w:ind w:firstLine="640" w:firstLineChars="200"/>
        <w:jc w:val="center"/>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3446780</wp:posOffset>
                </wp:positionH>
                <wp:positionV relativeFrom="paragraph">
                  <wp:posOffset>-289560</wp:posOffset>
                </wp:positionV>
                <wp:extent cx="102235" cy="179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2235" cy="179705"/>
                        </a:xfrm>
                        <a:prstGeom prst="rect">
                          <a:avLst/>
                        </a:prstGeom>
                        <a:noFill/>
                        <a:ln>
                          <a:noFill/>
                        </a:ln>
                      </wps:spPr>
                      <wps:txbx>
                        <w:txbxContent>
                          <w:p>
                            <w:pPr>
                              <w:spacing w:before="0" w:beforeLines="0" w:line="120" w:lineRule="auto"/>
                              <w:ind w:left="20" w:right="0" w:firstLine="0"/>
                              <w:jc w:val="left"/>
                              <w:rPr>
                                <w:sz w:val="24"/>
                              </w:rPr>
                            </w:pPr>
                          </w:p>
                        </w:txbxContent>
                      </wps:txbx>
                      <wps:bodyPr vert="eaVert" lIns="0" tIns="0" rIns="0" bIns="0" upright="1"/>
                    </wps:wsp>
                  </a:graphicData>
                </a:graphic>
              </wp:anchor>
            </w:drawing>
          </mc:Choice>
          <mc:Fallback>
            <w:pict>
              <v:shape id="_x0000_s1026" o:spid="_x0000_s1026" o:spt="202" type="#_x0000_t202" style="position:absolute;left:0pt;margin-left:271.4pt;margin-top:-22.8pt;height:14.15pt;width:8.05pt;mso-position-horizontal-relative:page;z-index:251659264;mso-width-relative:page;mso-height-relative:page;" fillcolor="#FFFFFF" filled="f" stroked="f" coordsize="21600,21600" o:gfxdata="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1dZAbZAAAACwEAAA8AAAAAAAAAAQAgAAAAIgAAAGRycy9kb3ducmV2&#10;LnhtbFBLAQIUABQAAAAIAIdO4kBrAvgqwgEAAH8DAAAOAAAAAAAAAAEAIAAAACgBAABkcnMvZTJv&#10;RG9jLnhtbFBLBQYAAAAABgAGAFkBAABcBQAAAAA=&#10;">
                <v:path/>
                <v:fill on="f" color2="#FFFFFF" focussize="0,0"/>
                <v:stroke on="f"/>
                <v:imagedata o:title=""/>
                <o:lock v:ext="edit" grouping="f" rotation="f" text="f" aspectratio="f"/>
                <v:textbox inset="0mm,0mm,0mm,0mm" style="layout-flow:vertical-ideographic;">
                  <w:txbxContent>
                    <w:p>
                      <w:pPr>
                        <w:spacing w:before="0" w:beforeLines="0" w:line="120" w:lineRule="auto"/>
                        <w:ind w:left="20" w:right="0" w:firstLine="0"/>
                        <w:jc w:val="left"/>
                        <w:rPr>
                          <w:sz w:val="24"/>
                        </w:rPr>
                      </w:pPr>
                    </w:p>
                  </w:txbxContent>
                </v:textbox>
              </v:shape>
            </w:pict>
          </mc:Fallback>
        </mc:AlternateContent>
      </w:r>
      <w:r>
        <w:rPr>
          <w:rFonts w:hint="default" w:ascii="Times New Roman" w:hAnsi="Times New Roman" w:eastAsia="仿宋" w:cs="Times New Roman"/>
          <w:color w:val="auto"/>
          <w:kern w:val="2"/>
          <w:sz w:val="32"/>
          <w:szCs w:val="32"/>
          <w:lang w:val="en-US" w:eastAsia="zh-CN" w:bidi="ar-SA"/>
        </w:rPr>
        <w:t>根据《邵阳市住房公积金贷款推行金融机构现金保函管理暂行办法》规定，贵公司开发的位于（项目地址）（项目名称）应按住房公积金贷款额度的    %向    银行    分行申请办理银行保函人民币（大写）       万元，银行保函担保期限从担保银行出具保函之日起至落实借款人所购住房期转现不动产权抵押登记并将《不动产登记证明》等有关抵押文件交邵阳市住房公积金管理中心收执之日止（包括借款人提前结清贷款的情形），请在接到本通知10个工作日内办妥，由担保银行将其出具的保函</w:t>
      </w:r>
    </w:p>
    <w:p>
      <w:pPr>
        <w:pStyle w:val="2"/>
        <w:spacing w:before="2" w:beforeLines="0"/>
        <w:jc w:val="both"/>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及时送达    管理部。</w:t>
      </w:r>
    </w:p>
    <w:p>
      <w:pPr>
        <w:pStyle w:val="2"/>
        <w:spacing w:before="2" w:beforeLines="0"/>
        <w:jc w:val="both"/>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 xml:space="preserve">    特此通知。</w:t>
      </w:r>
    </w:p>
    <w:p>
      <w:pPr>
        <w:pStyle w:val="2"/>
        <w:spacing w:before="2" w:beforeLines="0"/>
        <w:jc w:val="center"/>
        <w:rPr>
          <w:rFonts w:hint="default" w:ascii="Times New Roman" w:hAnsi="Times New Roman" w:eastAsia="仿宋" w:cs="Times New Roman"/>
          <w:color w:val="auto"/>
          <w:kern w:val="2"/>
          <w:sz w:val="32"/>
          <w:szCs w:val="32"/>
          <w:lang w:val="en-US" w:eastAsia="zh-CN" w:bidi="ar-SA"/>
        </w:rPr>
      </w:pPr>
    </w:p>
    <w:p>
      <w:pPr>
        <w:pStyle w:val="2"/>
        <w:spacing w:before="2" w:beforeLines="0"/>
        <w:jc w:val="center"/>
        <w:rPr>
          <w:rFonts w:hint="default" w:ascii="Times New Roman" w:hAnsi="Times New Roman" w:eastAsia="仿宋" w:cs="Times New Roman"/>
          <w:color w:val="auto"/>
          <w:kern w:val="2"/>
          <w:sz w:val="32"/>
          <w:szCs w:val="32"/>
          <w:lang w:val="en-US" w:eastAsia="zh-CN" w:bidi="ar-SA"/>
        </w:rPr>
      </w:pPr>
    </w:p>
    <w:p>
      <w:pPr>
        <w:pStyle w:val="2"/>
        <w:spacing w:before="2" w:beforeLines="0"/>
        <w:jc w:val="center"/>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 xml:space="preserve">            邵阳市住房公积金管理中心  </w:t>
      </w:r>
      <w:r>
        <w:rPr>
          <w:rFonts w:hint="eastAsia" w:ascii="Times New Roman" w:hAnsi="Times New Roman" w:eastAsia="仿宋" w:cs="Times New Roman"/>
          <w:color w:val="auto"/>
          <w:kern w:val="2"/>
          <w:sz w:val="32"/>
          <w:szCs w:val="32"/>
          <w:lang w:val="en-US" w:eastAsia="zh-CN" w:bidi="ar-SA"/>
        </w:rPr>
        <w:t xml:space="preserve">   </w:t>
      </w:r>
      <w:r>
        <w:rPr>
          <w:rFonts w:hint="default" w:ascii="Times New Roman" w:hAnsi="Times New Roman" w:eastAsia="仿宋" w:cs="Times New Roman"/>
          <w:color w:val="auto"/>
          <w:kern w:val="2"/>
          <w:sz w:val="32"/>
          <w:szCs w:val="32"/>
          <w:lang w:val="en-US" w:eastAsia="zh-CN" w:bidi="ar-SA"/>
        </w:rPr>
        <w:t>管理部</w:t>
      </w:r>
    </w:p>
    <w:p>
      <w:pPr>
        <w:pStyle w:val="2"/>
        <w:spacing w:before="2" w:beforeLines="0"/>
        <w:jc w:val="center"/>
        <w:rPr>
          <w:rFonts w:hint="default" w:ascii="Times New Roman" w:hAnsi="Times New Roman" w:eastAsia="仿宋" w:cs="Times New Roman"/>
          <w:color w:val="auto"/>
          <w:kern w:val="2"/>
          <w:sz w:val="32"/>
          <w:szCs w:val="32"/>
          <w:lang w:val="en-US" w:eastAsia="zh-CN" w:bidi="ar-SA"/>
        </w:rPr>
        <w:sectPr>
          <w:headerReference r:id="rId5" w:type="default"/>
          <w:footerReference r:id="rId6" w:type="default"/>
          <w:pgSz w:w="11910" w:h="16840"/>
          <w:pgMar w:top="1582" w:right="1508" w:bottom="278" w:left="1508" w:header="720" w:footer="720" w:gutter="0"/>
          <w:pgNumType w:fmt="numberInDash"/>
          <w:cols w:space="720" w:num="1"/>
          <w:docGrid w:type="lines" w:linePitch="312" w:charSpace="0"/>
        </w:sectPr>
      </w:pPr>
      <w:r>
        <w:rPr>
          <w:rFonts w:hint="default" w:ascii="Times New Roman" w:hAnsi="Times New Roman" w:eastAsia="仿宋" w:cs="Times New Roman"/>
          <w:color w:val="auto"/>
          <w:kern w:val="2"/>
          <w:sz w:val="32"/>
          <w:szCs w:val="32"/>
          <w:lang w:val="en-US" w:eastAsia="zh-CN" w:bidi="ar-SA"/>
        </w:rPr>
        <w:t xml:space="preserve">                 年  月  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YWE1NDE0MzNmNTJhZmE4MmMwODY5MDg4NjNmZGEifQ=="/>
  </w:docVars>
  <w:rsids>
    <w:rsidRoot w:val="45C760FD"/>
    <w:rsid w:val="45C76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beforeLines="0" w:after="0" w:afterLines="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sz w:val="27"/>
      <w:szCs w:val="27"/>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2023-01-31T02:02:00Z</dcterms:created>
  <dc:creator>A</dc:creator>
  <cp:lastModifiedBy>A</cp:lastModifiedBy>
  <dcterms:modified xsi:type="dcterms:W3CDTF">2023-01-31T02:02:19Z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AA5938339939458B84442691C6301BD8</vt:lpwstr>
  </property>
</Properties>
</file>